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FC" w:rsidRDefault="007171FC" w:rsidP="007130D3">
      <w:pPr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F6381F" w:rsidRPr="007130D3" w:rsidRDefault="00F6381F" w:rsidP="007130D3">
      <w:pPr>
        <w:widowControl/>
        <w:jc w:val="center"/>
        <w:outlineLvl w:val="0"/>
        <w:rPr>
          <w:rFonts w:ascii="Times" w:eastAsia="Arial Unicode MS" w:hAnsi="Times" w:cs="Times"/>
          <w:b/>
          <w:color w:val="000000"/>
          <w:position w:val="2"/>
          <w:sz w:val="32"/>
          <w:szCs w:val="32"/>
          <w:lang w:val="it" w:eastAsia="it-IT"/>
        </w:rPr>
      </w:pPr>
      <w:r w:rsidRPr="007130D3">
        <w:rPr>
          <w:rFonts w:ascii="Times" w:eastAsia="Arial Unicode MS" w:hAnsi="Times" w:cs="Times"/>
          <w:b/>
          <w:color w:val="000000"/>
          <w:position w:val="2"/>
          <w:sz w:val="32"/>
          <w:szCs w:val="32"/>
          <w:lang w:val="it" w:eastAsia="it-IT"/>
        </w:rPr>
        <w:t>CELEBRAZIONE DI ACCOGLIENZA</w:t>
      </w:r>
    </w:p>
    <w:p w:rsidR="00F6381F" w:rsidRPr="007130D3" w:rsidRDefault="00F6381F" w:rsidP="007130D3">
      <w:pPr>
        <w:widowControl/>
        <w:jc w:val="center"/>
        <w:outlineLvl w:val="0"/>
        <w:rPr>
          <w:rFonts w:ascii="Times" w:eastAsia="Arial Unicode MS" w:hAnsi="Times" w:cs="Times"/>
          <w:b/>
          <w:color w:val="000000"/>
          <w:position w:val="2"/>
          <w:sz w:val="32"/>
          <w:szCs w:val="32"/>
          <w:lang w:val="it" w:eastAsia="it-IT"/>
        </w:rPr>
      </w:pPr>
      <w:r w:rsidRPr="007130D3">
        <w:rPr>
          <w:rFonts w:ascii="Times" w:eastAsia="Arial Unicode MS" w:hAnsi="Times" w:cs="Times"/>
          <w:b/>
          <w:color w:val="000000"/>
          <w:position w:val="2"/>
          <w:sz w:val="32"/>
          <w:szCs w:val="32"/>
          <w:lang w:val="it" w:eastAsia="it-IT"/>
        </w:rPr>
        <w:t>APERTURA DEGLI OCCHI</w:t>
      </w:r>
    </w:p>
    <w:p w:rsidR="00F6381F" w:rsidRPr="003737E2" w:rsidRDefault="00F6381F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6381F" w:rsidRPr="007130D3" w:rsidRDefault="00F6381F" w:rsidP="00DB7D45">
      <w:pPr>
        <w:pStyle w:val="Rientrocorpodeltesto3"/>
        <w:ind w:left="0"/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Questo rito si compie </w:t>
      </w:r>
      <w:r w:rsid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all’inizio della Quaresima d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el </w:t>
      </w:r>
      <w:r w:rsidRPr="007130D3">
        <w:rPr>
          <w:rFonts w:ascii="Times" w:eastAsia="Arial Unicode MS" w:hAnsi="Times" w:cs="Times"/>
          <w:smallCaps/>
          <w:color w:val="FB0007"/>
          <w:sz w:val="20"/>
          <w:szCs w:val="20"/>
          <w:lang w:val="it" w:eastAsia="it-IT"/>
        </w:rPr>
        <w:t>tempo della prima evangelizzazione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, e comun</w:t>
      </w:r>
      <w:r w:rsid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que dopo alcuni mesi di cammino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.</w:t>
      </w:r>
    </w:p>
    <w:p w:rsidR="00F6381F" w:rsidRPr="007130D3" w:rsidRDefault="00F6381F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Si tratta della</w:t>
      </w:r>
      <w:r w:rsidR="00EB521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 prima celebrazione del gruppo</w:t>
      </w:r>
      <w:r w:rsidR="000C106E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; dato il principio della gradualità, è bene che abbia la caratteristica tra il familiare e il pubblico. </w:t>
      </w:r>
      <w:r w:rsidR="00EB521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Sia compiuto all’ interno del gruppo, e si distingua dal rito successivo di ingresso o ammissione al discepolato.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 </w:t>
      </w:r>
    </w:p>
    <w:p w:rsidR="000C106E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Questo rito si compie in una piccola assemblea formata di </w:t>
      </w:r>
      <w:r w:rsidR="00EB521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fan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ciulli, ragazzi e adulti (accompagnatori, familiari dei  ragazzi).</w:t>
      </w:r>
    </w:p>
    <w:p w:rsidR="000C106E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Sarebbe bene che il rito fosse fatto di domenica, in un orario che permetta la presenza di fanciulli, ragazzi e adulti: ad esempio, nel pomeriggio, ma non durante un’assemblea eucaristica  domenicale.</w:t>
      </w:r>
    </w:p>
    <w:p w:rsidR="000C106E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È bene usare un luogo diverso dalla chiesa dove però possano convenire comodamente fanciulli, ragazzi e adulti e sia possibile dare al rito il carattere di una certa spontaneità. Il luogo sia predisposto in modo da esprimere la  festa.</w:t>
      </w:r>
    </w:p>
    <w:p w:rsidR="00EB5213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È opportuno che nella preparazi</w:t>
      </w:r>
      <w:r w:rsidR="007130D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one siano coinvolti anche i fan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ciulli e ragazzi battezzati, ad esempio nella preparazione dei canti, delle preghiere, dell’ambiente</w:t>
      </w:r>
      <w:r w:rsidR="00EB521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.</w:t>
      </w:r>
    </w:p>
    <w:p w:rsidR="00EB5213" w:rsidRPr="003737E2" w:rsidRDefault="00EB5213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737E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COSTITUIRE L’ASSEMBLEA</w:t>
      </w: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I fanciulli e i ragazzi che </w:t>
      </w:r>
      <w:r w:rsidR="00EB521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iniziano il cammino 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ma soprattutto i loro genitori e familiari spesso non hanno dimestichezza  con  </w:t>
      </w:r>
      <w:r w:rsidR="00EB521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l’am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biente ecclesiale o ne hanno un’idea distorta. È perciò necessario </w:t>
      </w:r>
      <w:r w:rsidR="00EB521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dedi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care del tempo per costituire   l’assemblea.</w:t>
      </w:r>
    </w:p>
    <w:p w:rsidR="000C106E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Ci siano alcune persone (adulti e ragazzi, sacerdote) che  </w:t>
      </w:r>
      <w:r w:rsidR="00EB5213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com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piono la prima accoglienza di coloro che arrivano e  li  mettono  a loro agio (saluto cordiale, presentazione, consegna di eventuali foglietti o libretti,  indicazione  del  posto,  musica  d’ambiente...).</w:t>
      </w:r>
    </w:p>
    <w:p w:rsidR="000C106E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Ci si proponga di arrivare a raggiungere questi due obiettivi: che le persone incomincino a conoscersi e a familiarizzare tra di loro, che emerga il più chiaramente possibile il perch</w:t>
      </w:r>
      <w:r w:rsidR="00F6381F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é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 religioso e cristiano della riunione. Tutto questo renderà più facile le richieste che verranno fatte durante l’intero itinerario e le successive    celebrazioni.</w:t>
      </w:r>
    </w:p>
    <w:p w:rsidR="000C106E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</w:p>
    <w:p w:rsidR="000C106E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Quando tutti sono arrivati, ci può essere uno scambio informale di notizie in cui ci si presenta, si fa la conoscenza reciproca, si narra perch</w:t>
      </w:r>
      <w:r w:rsidR="00F6381F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é</w:t>
      </w: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 si è giunti a questa riunione; tutto sia fatto in modo da creare un ambiente di famiglia: la famiglia di Dio che accoglie ed è accolta. Si abbia l’avvertenza di evitare ciò che può avere carattere di interroga- torio; tutto avvenga spontaneamente.</w:t>
      </w: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3737E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LA DOMANDA </w:t>
      </w:r>
      <w:r w:rsidR="00EB5213" w:rsidRPr="003737E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DI INIZIARE IL CAMMINO</w:t>
      </w: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6381F" w:rsidRPr="007130D3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Il sacerdote raccoglie quanto è stato detto  dai  fanciulli, dai ragazzi e dai loro genitori e chiede di rendere ufficiale la loro </w:t>
      </w:r>
      <w:r w:rsidR="00F6381F" w:rsidRPr="007130D3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domanda</w:t>
      </w:r>
    </w:p>
    <w:p w:rsidR="00F6381F" w:rsidRPr="003737E2" w:rsidRDefault="00F6381F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25517A" w:rsidRDefault="007130D3" w:rsidP="00DB7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</w:pPr>
      <w:r w:rsidRPr="007130D3">
        <w:rPr>
          <w:rFonts w:ascii="Bookman Old Style" w:hAnsi="Bookman Old Style" w:cs="Times New Roman"/>
          <w:color w:val="FF0000"/>
          <w:sz w:val="24"/>
          <w:szCs w:val="24"/>
        </w:rPr>
        <w:t>C.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6381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Cari ragazzi, </w:t>
      </w:r>
      <w:r w:rsidR="00EB5213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che cosa chiedete</w:t>
      </w:r>
      <w:r w:rsidR="000C106E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?</w:t>
      </w: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25517A" w:rsidRDefault="007130D3" w:rsidP="00DB7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</w:pPr>
      <w:r w:rsidRPr="007130D3">
        <w:rPr>
          <w:rFonts w:ascii="Bookman Old Style" w:hAnsi="Bookman Old Style" w:cs="Times New Roman"/>
          <w:color w:val="FF0000"/>
          <w:sz w:val="24"/>
          <w:szCs w:val="24"/>
        </w:rPr>
        <w:t>R.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vogliamo diventare amici di Gesù?</w:t>
      </w:r>
    </w:p>
    <w:p w:rsidR="00940FCF" w:rsidRPr="003737E2" w:rsidRDefault="00940FCF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i/>
          <w:color w:val="000000" w:themeColor="text1"/>
          <w:sz w:val="24"/>
          <w:szCs w:val="24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Il sacerdote riprende con queste o altre simili parole</w:t>
      </w:r>
      <w:r w:rsidRPr="003737E2">
        <w:rPr>
          <w:rFonts w:ascii="Bookman Old Style" w:hAnsi="Bookman Old Style" w:cs="Times New Roman"/>
          <w:i/>
          <w:color w:val="000000" w:themeColor="text1"/>
          <w:sz w:val="24"/>
          <w:szCs w:val="24"/>
        </w:rPr>
        <w:t>:</w:t>
      </w:r>
    </w:p>
    <w:p w:rsidR="00F6381F" w:rsidRPr="003737E2" w:rsidRDefault="00F6381F" w:rsidP="00DB7D45">
      <w:pPr>
        <w:jc w:val="both"/>
        <w:rPr>
          <w:rFonts w:ascii="Bookman Old Style" w:hAnsi="Bookman Old Style" w:cs="Times New Roman"/>
          <w:i/>
          <w:color w:val="000000" w:themeColor="text1"/>
          <w:sz w:val="24"/>
          <w:szCs w:val="24"/>
        </w:rPr>
      </w:pPr>
    </w:p>
    <w:p w:rsidR="00940FCF" w:rsidRPr="0025517A" w:rsidRDefault="000C106E" w:rsidP="00DB7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</w:pP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Noi tutti siamo felici che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vogliate diventare amici/discepoli di Gesù. Per questo avete 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bisogno di tempo e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del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l’aiuto di persone che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vi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 stiano accanto come guide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.</w:t>
      </w:r>
    </w:p>
    <w:p w:rsidR="00940FCF" w:rsidRPr="0025517A" w:rsidRDefault="00940FCF" w:rsidP="00DB7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</w:pPr>
    </w:p>
    <w:p w:rsidR="000C106E" w:rsidRPr="0025517A" w:rsidRDefault="00940FCF" w:rsidP="00DB7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</w:pP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Siete disposti </w:t>
      </w:r>
      <w:r w:rsidR="000C106E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a venire con noi, nel nostro gruppo, per imparare a conoscere e amare Gesù come lui già da tempo 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vi</w:t>
      </w:r>
      <w:r w:rsidR="000C106E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 conosce e 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vi</w:t>
      </w:r>
      <w:r w:rsidR="000C106E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  ama?</w:t>
      </w:r>
    </w:p>
    <w:p w:rsidR="00F6381F" w:rsidRPr="003737E2" w:rsidRDefault="00F6381F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3737E2" w:rsidRDefault="0025517A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5517A">
        <w:rPr>
          <w:rFonts w:ascii="Bookman Old Style" w:hAnsi="Bookman Old Style" w:cs="Times New Roman"/>
          <w:color w:val="FF0000"/>
          <w:sz w:val="24"/>
          <w:szCs w:val="24"/>
        </w:rPr>
        <w:t>R</w:t>
      </w:r>
      <w:r w:rsidRPr="0025517A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0C106E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Sì.</w:t>
      </w: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40FCF" w:rsidRPr="0025517A" w:rsidRDefault="0025517A" w:rsidP="00DB7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</w:pPr>
      <w:r w:rsidRPr="0025517A">
        <w:rPr>
          <w:rFonts w:ascii="Bookman Old Style" w:hAnsi="Bookman Old Style" w:cs="Times New Roman"/>
          <w:color w:val="FF0000"/>
          <w:sz w:val="24"/>
          <w:szCs w:val="24"/>
        </w:rPr>
        <w:lastRenderedPageBreak/>
        <w:t>C.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0C106E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Cari N. e N., ora andate dai vostri genitori e domandate loro se sono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d’ac</w:t>
      </w:r>
      <w:r w:rsidR="000C106E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cordo con voi e vi permettono di incominciare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questo </w:t>
      </w:r>
      <w:r w:rsidR="000C106E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cammino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.</w:t>
      </w:r>
    </w:p>
    <w:p w:rsidR="00940FCF" w:rsidRPr="003737E2" w:rsidRDefault="00940FCF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25517A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Ciascun fanciullo o ragazzo si reca dai propri genitori a </w:t>
      </w:r>
      <w:r w:rsidR="00F6381F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doman</w:t>
      </w: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dare il permesso; si rivolge a loro con queste o simili parole:</w:t>
      </w:r>
    </w:p>
    <w:p w:rsidR="00F6381F" w:rsidRPr="003737E2" w:rsidRDefault="00F6381F" w:rsidP="00DB7D45">
      <w:pPr>
        <w:jc w:val="both"/>
        <w:rPr>
          <w:rFonts w:ascii="Bookman Old Style" w:hAnsi="Bookman Old Style" w:cs="Times New Roman"/>
          <w:i/>
          <w:color w:val="000000" w:themeColor="text1"/>
          <w:sz w:val="24"/>
          <w:szCs w:val="24"/>
        </w:rPr>
      </w:pPr>
    </w:p>
    <w:p w:rsidR="00940FCF" w:rsidRPr="0025517A" w:rsidRDefault="000C106E" w:rsidP="00DB7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</w:pP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Cara mamma e caro papà mi permettete di far parte di questo gruppo per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vivere sempre di più da amico di Gesù?</w:t>
      </w:r>
    </w:p>
    <w:p w:rsidR="00940FCF" w:rsidRPr="003737E2" w:rsidRDefault="00940FCF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40FCF" w:rsidRPr="0025517A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I genitori instaurano un breve dialogo, esprimono  la loro  gioia  per la scelta;  fanno  presente  che </w:t>
      </w:r>
      <w:r w:rsidR="00F6381F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si tratta di una scelta</w:t>
      </w: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 bella e importante ed esige un impegno </w:t>
      </w:r>
      <w:r w:rsidR="00F6381F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serio</w:t>
      </w: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. </w:t>
      </w:r>
    </w:p>
    <w:p w:rsidR="00940FCF" w:rsidRPr="0025517A" w:rsidRDefault="00940FCF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</w:p>
    <w:p w:rsidR="000C106E" w:rsidRPr="0025517A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Quindi mettono la mano sul capo del fanciullo o del ragazzo e dicono:</w:t>
      </w:r>
    </w:p>
    <w:p w:rsidR="00F6381F" w:rsidRPr="003737E2" w:rsidRDefault="00F6381F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5517A" w:rsidRPr="0025517A" w:rsidRDefault="0025517A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Genitori:</w:t>
      </w:r>
    </w:p>
    <w:p w:rsidR="000C106E" w:rsidRPr="003737E2" w:rsidRDefault="000C106E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Va’, figlio/a mio/a (oppure il nome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del 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ragazzo), e la grazia di Dio ti accompagni</w:t>
      </w:r>
      <w:r w:rsidRPr="003737E2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DB7D45" w:rsidRPr="003737E2" w:rsidRDefault="00DB7D45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B7D45" w:rsidRPr="0025517A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Il fanciullo o ragazzo ritorna nel cerchio davanti al sacerdote, e comunica ciò che i genitori gli hanno detto. </w:t>
      </w:r>
    </w:p>
    <w:p w:rsidR="00DB7D45" w:rsidRPr="003737E2" w:rsidRDefault="00DB7D45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25517A" w:rsidRDefault="000C106E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Il sacerdote si rivolge ai genitori con queste o altre simili</w:t>
      </w:r>
      <w:r w:rsidR="00DB7D45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 </w:t>
      </w: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parole:</w:t>
      </w:r>
    </w:p>
    <w:p w:rsidR="00DB7D45" w:rsidRPr="003737E2" w:rsidRDefault="00DB7D45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25517A" w:rsidRDefault="000C106E" w:rsidP="00DB7D45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</w:pP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Cari genitori, voi avete dato il consenso ai vostri figli perch</w:t>
      </w:r>
      <w:r w:rsidR="00DB7D45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é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 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fac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ciano parte di questo gruppo di fanciulli (di ragazzi). Gli accompagnatori (gli animatori) ed io vi assicuriamo del nostro impegno e vi chiediamo:</w:t>
      </w:r>
      <w:r w:rsid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 xml:space="preserve"> </w:t>
      </w: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Siete disposti di prendere parte attiva in questo cammino</w:t>
      </w:r>
      <w:r w:rsidR="00940FCF"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?</w:t>
      </w:r>
    </w:p>
    <w:p w:rsidR="003737E2" w:rsidRPr="003737E2" w:rsidRDefault="003737E2" w:rsidP="00DB7D45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106E" w:rsidRPr="0025517A" w:rsidRDefault="003737E2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Genitori</w:t>
      </w:r>
    </w:p>
    <w:p w:rsidR="003737E2" w:rsidRDefault="000C106E" w:rsidP="003737E2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737E2">
        <w:rPr>
          <w:rFonts w:ascii="Bookman Old Style" w:hAnsi="Bookman Old Style" w:cs="Times New Roman"/>
          <w:color w:val="000000" w:themeColor="text1"/>
          <w:sz w:val="24"/>
          <w:szCs w:val="24"/>
        </w:rPr>
        <w:t>Sì.</w:t>
      </w:r>
      <w:r w:rsidR="003737E2" w:rsidRPr="003737E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3737E2" w:rsidRDefault="003737E2" w:rsidP="003737E2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1640" w:rsidRPr="003737E2" w:rsidRDefault="00BA1640" w:rsidP="003737E2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3737E2">
        <w:rPr>
          <w:rFonts w:ascii="Bookman Old Style" w:hAnsi="Bookman Old Style"/>
          <w:b/>
          <w:color w:val="000000" w:themeColor="text1"/>
          <w:sz w:val="24"/>
          <w:szCs w:val="24"/>
        </w:rPr>
        <w:t>LETTUR</w:t>
      </w:r>
      <w:r w:rsidR="003737E2" w:rsidRPr="003737E2">
        <w:rPr>
          <w:rFonts w:ascii="Bookman Old Style" w:hAnsi="Bookman Old Style"/>
          <w:b/>
          <w:color w:val="000000" w:themeColor="text1"/>
          <w:sz w:val="24"/>
          <w:szCs w:val="24"/>
        </w:rPr>
        <w:t>A EVENGELICA</w:t>
      </w:r>
      <w:r w:rsidRPr="003737E2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</w:p>
    <w:p w:rsidR="003737E2" w:rsidRPr="003737E2" w:rsidRDefault="003737E2" w:rsidP="003737E2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:rsidR="00BA1640" w:rsidRPr="0025517A" w:rsidRDefault="003737E2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V</w:t>
      </w:r>
      <w:r w:rsidR="00BA1640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iene messo nel mezzo il leggio con il Vangelo aperto; il sacerdote si rivolge  nuovamente ai </w:t>
      </w: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ragazzi e dice </w:t>
      </w:r>
      <w:r w:rsidR="00BA1640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loro:</w:t>
      </w:r>
    </w:p>
    <w:p w:rsidR="003737E2" w:rsidRDefault="003737E2" w:rsidP="003737E2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A1640" w:rsidRDefault="00BA1640" w:rsidP="003737E2">
      <w:pPr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  <w:r w:rsidRPr="0025517A">
        <w:rPr>
          <w:rFonts w:ascii="Times New Roman" w:eastAsia="Arial Unicode MS" w:hAnsi="Times New Roman" w:cs="Times New Roman"/>
          <w:color w:val="000000"/>
          <w:sz w:val="24"/>
          <w:szCs w:val="24"/>
          <w:lang w:val="it" w:eastAsia="it-IT"/>
        </w:rPr>
        <w:t>Cari N. e N., ora fate parte del nostro gruppo, di coloro che vogliono diventare amici di Gesù. Ascoltate che cosa ci dice il Vangelo</w:t>
      </w:r>
      <w:r w:rsidRPr="003737E2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3737E2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 </w:t>
      </w:r>
    </w:p>
    <w:p w:rsidR="003737E2" w:rsidRPr="003737E2" w:rsidRDefault="003737E2" w:rsidP="003737E2">
      <w:pPr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</w:p>
    <w:p w:rsidR="0025517A" w:rsidRDefault="00BA1640" w:rsidP="0025517A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Dal Vangelo secondo Marco (8, 22-26)</w:t>
      </w:r>
    </w:p>
    <w:p w:rsidR="0025517A" w:rsidRDefault="0025517A" w:rsidP="0025517A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</w:p>
    <w:p w:rsidR="00BA1640" w:rsidRPr="003737E2" w:rsidRDefault="00BA1640" w:rsidP="0025517A">
      <w:pPr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  <w:r w:rsidRPr="003737E2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 SIGNATIO DEGLI OCCHI</w:t>
      </w:r>
    </w:p>
    <w:p w:rsidR="00BA1640" w:rsidRPr="003737E2" w:rsidRDefault="00BA1640" w:rsidP="00DB7D45">
      <w:pPr>
        <w:pStyle w:val="Titolo2"/>
        <w:jc w:val="both"/>
        <w:rPr>
          <w:rFonts w:ascii="Bookman Old Style" w:hAnsi="Bookman Old Style"/>
          <w:i/>
          <w:snapToGrid w:val="0"/>
          <w:color w:val="000000" w:themeColor="text1"/>
          <w:sz w:val="24"/>
          <w:szCs w:val="24"/>
        </w:rPr>
      </w:pPr>
    </w:p>
    <w:p w:rsidR="003737E2" w:rsidRPr="0025517A" w:rsidRDefault="00BA1640" w:rsidP="003737E2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Ogni ragazzo, in silenzio e con ordine, si avvicina </w:t>
      </w:r>
      <w:r w:rsidR="003737E2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ad un </w:t>
      </w: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bacile e, prendendo l’acqua con la mano, si lava gli occhi. Quindi guarda per qualche istante l’immagine con il volto d</w:t>
      </w:r>
      <w:r w:rsidR="003737E2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i</w:t>
      </w: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 Gesù. </w:t>
      </w:r>
    </w:p>
    <w:p w:rsidR="003737E2" w:rsidRPr="0025517A" w:rsidRDefault="003737E2" w:rsidP="003737E2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</w:p>
    <w:p w:rsidR="00BA1640" w:rsidRPr="0025517A" w:rsidRDefault="00BA1640" w:rsidP="003737E2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Dopo che i </w:t>
      </w:r>
      <w:r w:rsidR="003737E2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ragazzi</w:t>
      </w: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 xml:space="preserve"> hanno compiuto il gesto si può int</w:t>
      </w:r>
      <w:r w:rsidR="003737E2"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onare un canto adatto che può diventare il “canto del gruppo”.</w:t>
      </w:r>
    </w:p>
    <w:p w:rsidR="003737E2" w:rsidRPr="0025517A" w:rsidRDefault="003737E2" w:rsidP="003737E2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</w:p>
    <w:p w:rsidR="003737E2" w:rsidRPr="0025517A" w:rsidRDefault="003737E2" w:rsidP="003737E2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</w:p>
    <w:p w:rsidR="00BA1640" w:rsidRPr="0025517A" w:rsidRDefault="00BA1640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  <w:r w:rsidRPr="0025517A"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  <w:t>La festa dell’accoglienza prosegue in modo informale con canti, giochi...</w:t>
      </w:r>
    </w:p>
    <w:p w:rsidR="00E4233D" w:rsidRPr="0025517A" w:rsidRDefault="00E4233D" w:rsidP="00DB7D45">
      <w:pPr>
        <w:jc w:val="both"/>
        <w:rPr>
          <w:rFonts w:ascii="Times" w:eastAsia="Arial Unicode MS" w:hAnsi="Times" w:cs="Times"/>
          <w:color w:val="FB0007"/>
          <w:sz w:val="20"/>
          <w:szCs w:val="20"/>
          <w:lang w:val="it" w:eastAsia="it-IT"/>
        </w:rPr>
      </w:pPr>
    </w:p>
    <w:p w:rsidR="003737E2" w:rsidRPr="003737E2" w:rsidRDefault="003737E2">
      <w:pPr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737E2" w:rsidRPr="003737E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39" w:rsidRDefault="006F6F39" w:rsidP="0025517A">
      <w:r>
        <w:separator/>
      </w:r>
    </w:p>
  </w:endnote>
  <w:endnote w:type="continuationSeparator" w:id="0">
    <w:p w:rsidR="006F6F39" w:rsidRDefault="006F6F39" w:rsidP="0025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166734"/>
      <w:docPartObj>
        <w:docPartGallery w:val="Page Numbers (Bottom of Page)"/>
        <w:docPartUnique/>
      </w:docPartObj>
    </w:sdtPr>
    <w:sdtContent>
      <w:p w:rsidR="0025517A" w:rsidRDefault="002551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517A" w:rsidRDefault="002551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39" w:rsidRDefault="006F6F39" w:rsidP="0025517A">
      <w:r>
        <w:separator/>
      </w:r>
    </w:p>
  </w:footnote>
  <w:footnote w:type="continuationSeparator" w:id="0">
    <w:p w:rsidR="006F6F39" w:rsidRDefault="006F6F39" w:rsidP="0025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EB"/>
    <w:multiLevelType w:val="hybridMultilevel"/>
    <w:tmpl w:val="9EFEDDBE"/>
    <w:lvl w:ilvl="0" w:tplc="4FFE4B98">
      <w:start w:val="1"/>
      <w:numFmt w:val="bullet"/>
      <w:lvlText w:val="–"/>
      <w:lvlJc w:val="left"/>
      <w:pPr>
        <w:ind w:left="2122" w:hanging="227"/>
      </w:pPr>
      <w:rPr>
        <w:rFonts w:ascii="Cambria" w:eastAsia="Cambria" w:hAnsi="Cambria" w:hint="default"/>
        <w:i/>
        <w:color w:val="231F20"/>
        <w:w w:val="100"/>
        <w:sz w:val="20"/>
        <w:szCs w:val="20"/>
      </w:rPr>
    </w:lvl>
    <w:lvl w:ilvl="1" w:tplc="923448D6">
      <w:start w:val="1"/>
      <w:numFmt w:val="bullet"/>
      <w:lvlText w:val="•"/>
      <w:lvlJc w:val="left"/>
      <w:pPr>
        <w:ind w:left="2762" w:hanging="227"/>
      </w:pPr>
      <w:rPr>
        <w:rFonts w:hint="default"/>
      </w:rPr>
    </w:lvl>
    <w:lvl w:ilvl="2" w:tplc="94AC118E">
      <w:start w:val="1"/>
      <w:numFmt w:val="bullet"/>
      <w:lvlText w:val="•"/>
      <w:lvlJc w:val="left"/>
      <w:pPr>
        <w:ind w:left="3404" w:hanging="227"/>
      </w:pPr>
      <w:rPr>
        <w:rFonts w:hint="default"/>
      </w:rPr>
    </w:lvl>
    <w:lvl w:ilvl="3" w:tplc="C3947B1C">
      <w:start w:val="1"/>
      <w:numFmt w:val="bullet"/>
      <w:lvlText w:val="•"/>
      <w:lvlJc w:val="left"/>
      <w:pPr>
        <w:ind w:left="4046" w:hanging="227"/>
      </w:pPr>
      <w:rPr>
        <w:rFonts w:hint="default"/>
      </w:rPr>
    </w:lvl>
    <w:lvl w:ilvl="4" w:tplc="527608DE">
      <w:start w:val="1"/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A20AC270">
      <w:start w:val="1"/>
      <w:numFmt w:val="bullet"/>
      <w:lvlText w:val="•"/>
      <w:lvlJc w:val="left"/>
      <w:pPr>
        <w:ind w:left="5330" w:hanging="227"/>
      </w:pPr>
      <w:rPr>
        <w:rFonts w:hint="default"/>
      </w:rPr>
    </w:lvl>
    <w:lvl w:ilvl="6" w:tplc="DD382808">
      <w:start w:val="1"/>
      <w:numFmt w:val="bullet"/>
      <w:lvlText w:val="•"/>
      <w:lvlJc w:val="left"/>
      <w:pPr>
        <w:ind w:left="5972" w:hanging="227"/>
      </w:pPr>
      <w:rPr>
        <w:rFonts w:hint="default"/>
      </w:rPr>
    </w:lvl>
    <w:lvl w:ilvl="7" w:tplc="061E12FA">
      <w:start w:val="1"/>
      <w:numFmt w:val="bullet"/>
      <w:lvlText w:val="•"/>
      <w:lvlJc w:val="left"/>
      <w:pPr>
        <w:ind w:left="6614" w:hanging="227"/>
      </w:pPr>
      <w:rPr>
        <w:rFonts w:hint="default"/>
      </w:rPr>
    </w:lvl>
    <w:lvl w:ilvl="8" w:tplc="552A999C">
      <w:start w:val="1"/>
      <w:numFmt w:val="bullet"/>
      <w:lvlText w:val="•"/>
      <w:lvlJc w:val="left"/>
      <w:pPr>
        <w:ind w:left="7256" w:hanging="227"/>
      </w:pPr>
      <w:rPr>
        <w:rFonts w:hint="default"/>
      </w:rPr>
    </w:lvl>
  </w:abstractNum>
  <w:abstractNum w:abstractNumId="1" w15:restartNumberingAfterBreak="0">
    <w:nsid w:val="4AE45338"/>
    <w:multiLevelType w:val="hybridMultilevel"/>
    <w:tmpl w:val="821C0B66"/>
    <w:lvl w:ilvl="0" w:tplc="97784082">
      <w:start w:val="1"/>
      <w:numFmt w:val="decimal"/>
      <w:lvlText w:val="%1."/>
      <w:lvlJc w:val="left"/>
      <w:pPr>
        <w:ind w:left="2205" w:hanging="310"/>
        <w:jc w:val="left"/>
      </w:pPr>
      <w:rPr>
        <w:rFonts w:ascii="Times New Roman" w:eastAsia="Times New Roman" w:hAnsi="Times New Roman" w:hint="default"/>
        <w:b/>
        <w:bCs/>
        <w:color w:val="231F20"/>
        <w:w w:val="126"/>
        <w:sz w:val="24"/>
        <w:szCs w:val="24"/>
      </w:rPr>
    </w:lvl>
    <w:lvl w:ilvl="1" w:tplc="3BEE7696">
      <w:start w:val="1"/>
      <w:numFmt w:val="bullet"/>
      <w:lvlText w:val="•"/>
      <w:lvlJc w:val="left"/>
      <w:pPr>
        <w:ind w:left="1900" w:hanging="310"/>
      </w:pPr>
      <w:rPr>
        <w:rFonts w:hint="default"/>
      </w:rPr>
    </w:lvl>
    <w:lvl w:ilvl="2" w:tplc="C4BAA3B0">
      <w:start w:val="1"/>
      <w:numFmt w:val="bullet"/>
      <w:lvlText w:val="•"/>
      <w:lvlJc w:val="left"/>
      <w:pPr>
        <w:ind w:left="2200" w:hanging="310"/>
      </w:pPr>
      <w:rPr>
        <w:rFonts w:hint="default"/>
      </w:rPr>
    </w:lvl>
    <w:lvl w:ilvl="3" w:tplc="39B0A164">
      <w:start w:val="1"/>
      <w:numFmt w:val="bullet"/>
      <w:lvlText w:val="•"/>
      <w:lvlJc w:val="left"/>
      <w:pPr>
        <w:ind w:left="2992" w:hanging="310"/>
      </w:pPr>
      <w:rPr>
        <w:rFonts w:hint="default"/>
      </w:rPr>
    </w:lvl>
    <w:lvl w:ilvl="4" w:tplc="0F965558">
      <w:start w:val="1"/>
      <w:numFmt w:val="bullet"/>
      <w:lvlText w:val="•"/>
      <w:lvlJc w:val="left"/>
      <w:pPr>
        <w:ind w:left="3785" w:hanging="310"/>
      </w:pPr>
      <w:rPr>
        <w:rFonts w:hint="default"/>
      </w:rPr>
    </w:lvl>
    <w:lvl w:ilvl="5" w:tplc="7C425830">
      <w:start w:val="1"/>
      <w:numFmt w:val="bullet"/>
      <w:lvlText w:val="•"/>
      <w:lvlJc w:val="left"/>
      <w:pPr>
        <w:ind w:left="4577" w:hanging="310"/>
      </w:pPr>
      <w:rPr>
        <w:rFonts w:hint="default"/>
      </w:rPr>
    </w:lvl>
    <w:lvl w:ilvl="6" w:tplc="7EF4B2E2">
      <w:start w:val="1"/>
      <w:numFmt w:val="bullet"/>
      <w:lvlText w:val="•"/>
      <w:lvlJc w:val="left"/>
      <w:pPr>
        <w:ind w:left="5370" w:hanging="310"/>
      </w:pPr>
      <w:rPr>
        <w:rFonts w:hint="default"/>
      </w:rPr>
    </w:lvl>
    <w:lvl w:ilvl="7" w:tplc="F9DAE334">
      <w:start w:val="1"/>
      <w:numFmt w:val="bullet"/>
      <w:lvlText w:val="•"/>
      <w:lvlJc w:val="left"/>
      <w:pPr>
        <w:ind w:left="6162" w:hanging="310"/>
      </w:pPr>
      <w:rPr>
        <w:rFonts w:hint="default"/>
      </w:rPr>
    </w:lvl>
    <w:lvl w:ilvl="8" w:tplc="E8AA769C">
      <w:start w:val="1"/>
      <w:numFmt w:val="bullet"/>
      <w:lvlText w:val="•"/>
      <w:lvlJc w:val="left"/>
      <w:pPr>
        <w:ind w:left="6955" w:hanging="310"/>
      </w:pPr>
      <w:rPr>
        <w:rFonts w:hint="default"/>
      </w:rPr>
    </w:lvl>
  </w:abstractNum>
  <w:abstractNum w:abstractNumId="2" w15:restartNumberingAfterBreak="0">
    <w:nsid w:val="7A1136E7"/>
    <w:multiLevelType w:val="hybridMultilevel"/>
    <w:tmpl w:val="0E229ADA"/>
    <w:lvl w:ilvl="0" w:tplc="09AC60FA">
      <w:start w:val="1"/>
      <w:numFmt w:val="bullet"/>
      <w:lvlText w:val="–"/>
      <w:lvlJc w:val="left"/>
      <w:pPr>
        <w:ind w:left="2122" w:hanging="227"/>
      </w:pPr>
      <w:rPr>
        <w:rFonts w:ascii="Cambria" w:eastAsia="Cambria" w:hAnsi="Cambria" w:hint="default"/>
        <w:i/>
        <w:color w:val="231F20"/>
        <w:w w:val="100"/>
        <w:sz w:val="20"/>
        <w:szCs w:val="20"/>
      </w:rPr>
    </w:lvl>
    <w:lvl w:ilvl="1" w:tplc="EB385E82">
      <w:start w:val="1"/>
      <w:numFmt w:val="bullet"/>
      <w:lvlText w:val="•"/>
      <w:lvlJc w:val="left"/>
      <w:pPr>
        <w:ind w:left="2762" w:hanging="227"/>
      </w:pPr>
      <w:rPr>
        <w:rFonts w:hint="default"/>
      </w:rPr>
    </w:lvl>
    <w:lvl w:ilvl="2" w:tplc="03820356">
      <w:start w:val="1"/>
      <w:numFmt w:val="bullet"/>
      <w:lvlText w:val="•"/>
      <w:lvlJc w:val="left"/>
      <w:pPr>
        <w:ind w:left="3404" w:hanging="227"/>
      </w:pPr>
      <w:rPr>
        <w:rFonts w:hint="default"/>
      </w:rPr>
    </w:lvl>
    <w:lvl w:ilvl="3" w:tplc="45F8AF3C">
      <w:start w:val="1"/>
      <w:numFmt w:val="bullet"/>
      <w:lvlText w:val="•"/>
      <w:lvlJc w:val="left"/>
      <w:pPr>
        <w:ind w:left="4046" w:hanging="227"/>
      </w:pPr>
      <w:rPr>
        <w:rFonts w:hint="default"/>
      </w:rPr>
    </w:lvl>
    <w:lvl w:ilvl="4" w:tplc="13C4CEC6">
      <w:start w:val="1"/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3012701C">
      <w:start w:val="1"/>
      <w:numFmt w:val="bullet"/>
      <w:lvlText w:val="•"/>
      <w:lvlJc w:val="left"/>
      <w:pPr>
        <w:ind w:left="5330" w:hanging="227"/>
      </w:pPr>
      <w:rPr>
        <w:rFonts w:hint="default"/>
      </w:rPr>
    </w:lvl>
    <w:lvl w:ilvl="6" w:tplc="55040570">
      <w:start w:val="1"/>
      <w:numFmt w:val="bullet"/>
      <w:lvlText w:val="•"/>
      <w:lvlJc w:val="left"/>
      <w:pPr>
        <w:ind w:left="5972" w:hanging="227"/>
      </w:pPr>
      <w:rPr>
        <w:rFonts w:hint="default"/>
      </w:rPr>
    </w:lvl>
    <w:lvl w:ilvl="7" w:tplc="F370AF04">
      <w:start w:val="1"/>
      <w:numFmt w:val="bullet"/>
      <w:lvlText w:val="•"/>
      <w:lvlJc w:val="left"/>
      <w:pPr>
        <w:ind w:left="6614" w:hanging="227"/>
      </w:pPr>
      <w:rPr>
        <w:rFonts w:hint="default"/>
      </w:rPr>
    </w:lvl>
    <w:lvl w:ilvl="8" w:tplc="E1703BB6">
      <w:start w:val="1"/>
      <w:numFmt w:val="bullet"/>
      <w:lvlText w:val="•"/>
      <w:lvlJc w:val="left"/>
      <w:pPr>
        <w:ind w:left="7256" w:hanging="2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6E"/>
    <w:rsid w:val="000C106E"/>
    <w:rsid w:val="0025517A"/>
    <w:rsid w:val="003737E2"/>
    <w:rsid w:val="006F6F39"/>
    <w:rsid w:val="007130D3"/>
    <w:rsid w:val="007171FC"/>
    <w:rsid w:val="00940FCF"/>
    <w:rsid w:val="00BA1640"/>
    <w:rsid w:val="00DB7D45"/>
    <w:rsid w:val="00E4233D"/>
    <w:rsid w:val="00EB5213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21E7-C084-4F4B-9054-BD198E6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C106E"/>
    <w:pPr>
      <w:widowControl w:val="0"/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1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link w:val="Titolo7Carattere"/>
    <w:uiPriority w:val="1"/>
    <w:qFormat/>
    <w:rsid w:val="000C106E"/>
    <w:pPr>
      <w:spacing w:before="64"/>
      <w:ind w:left="1895" w:hanging="31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C106E"/>
    <w:pPr>
      <w:ind w:left="1877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106E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0C106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C106E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1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rsivo">
    <w:name w:val="corsivo"/>
    <w:basedOn w:val="Normale"/>
    <w:rsid w:val="00BA1640"/>
    <w:pPr>
      <w:widowControl/>
    </w:pPr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638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6381F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5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17A"/>
  </w:style>
  <w:style w:type="paragraph" w:styleId="Pidipagina">
    <w:name w:val="footer"/>
    <w:basedOn w:val="Normale"/>
    <w:link w:val="PidipaginaCarattere"/>
    <w:uiPriority w:val="99"/>
    <w:unhideWhenUsed/>
    <w:rsid w:val="00255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Battista Rinaldi</cp:lastModifiedBy>
  <cp:revision>2</cp:revision>
  <dcterms:created xsi:type="dcterms:W3CDTF">2016-09-26T08:48:00Z</dcterms:created>
  <dcterms:modified xsi:type="dcterms:W3CDTF">2016-09-26T08:48:00Z</dcterms:modified>
</cp:coreProperties>
</file>